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1224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Петрова Мария Владимировна</w:t>
      </w:r>
    </w:p>
    <w:p w:rsidR="00000000" w:rsidRDefault="00421224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К(П)ФУ, зарубежная филология, педагогическое образование</w:t>
      </w:r>
    </w:p>
    <w:p w:rsidR="00000000" w:rsidRDefault="00421224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Педагогика</w:t>
      </w:r>
    </w:p>
    <w:p w:rsidR="00000000" w:rsidRDefault="00421224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Тема: </w:t>
      </w:r>
      <w:r>
        <w:rPr>
          <w:rFonts w:ascii="Cambria Math" w:hAnsi="Cambria Math" w:cs="Courier New"/>
          <w:color w:val="000000"/>
        </w:rPr>
        <w:t>Мультимедийные технологии как эффективное средство контроля в обучении иностранному языку в СОШ</w:t>
      </w:r>
    </w:p>
    <w:p w:rsidR="00000000" w:rsidRDefault="00421224">
      <w:pPr>
        <w:jc w:val="center"/>
        <w:rPr>
          <w:rFonts w:ascii="Cambria Math" w:hAnsi="Cambria Math"/>
        </w:rPr>
      </w:pPr>
    </w:p>
    <w:p w:rsidR="00000000" w:rsidRDefault="00421224">
      <w:pPr>
        <w:jc w:val="center"/>
        <w:rPr>
          <w:rFonts w:ascii="Cambria Math" w:hAnsi="Cambria Math"/>
        </w:rPr>
      </w:pPr>
      <w:r>
        <w:rPr>
          <w:rFonts w:ascii="Cambria Math" w:hAnsi="Cambria Math"/>
          <w:b/>
          <w:sz w:val="28"/>
          <w:szCs w:val="28"/>
        </w:rPr>
        <w:t>Оформление курсовых, дипломных работ</w:t>
      </w:r>
    </w:p>
    <w:p w:rsidR="00000000" w:rsidRDefault="00421224">
      <w:pPr>
        <w:rPr>
          <w:rFonts w:ascii="Cambria Math" w:hAnsi="Cambria Math"/>
        </w:rPr>
      </w:pPr>
    </w:p>
    <w:p w:rsidR="00000000" w:rsidRDefault="00421224">
      <w:pPr>
        <w:ind w:left="360"/>
        <w:rPr>
          <w:rFonts w:ascii="Cambria Math" w:hAnsi="Cambria Math"/>
          <w:sz w:val="28"/>
          <w:szCs w:val="28"/>
        </w:rPr>
      </w:pPr>
    </w:p>
    <w:p w:rsidR="00000000" w:rsidRDefault="00421224">
      <w:pPr>
        <w:rPr>
          <w:rFonts w:ascii="Cambria Math" w:hAnsi="Cambria Math"/>
          <w:sz w:val="28"/>
          <w:szCs w:val="28"/>
        </w:rPr>
      </w:pP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pict>
          <v:rect id="_x0000_s1027" style="position:absolute;margin-left:351pt;margin-top:-9.15pt;width:108pt;height:2in;z-index:251653632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378pt;margin-top:8.85pt;width:1in;height:108pt;z-index:251654656;mso-wrap-style:none;v-text-anchor:middle" strokeweight=".26mm">
            <v:fill color2="black"/>
            <v:stroke endcap="square"/>
          </v:rect>
        </w:pict>
      </w:r>
      <w:r>
        <w:pict>
          <v:line id="_x0000_s1029" style="position:absolute;z-index:251655680" from="351pt,62.85pt" to="378pt,62.85pt" strokeweight=".26mm">
            <v:stroke startarrow="block" endarrow="block" joinstyle="miter" endcap="square"/>
          </v:line>
        </w:pict>
      </w:r>
      <w:r>
        <w:pict>
          <v:line id="_x0000_s1030" style="position:absolute;z-index:251656704" from="405pt,-9.15pt" to="405pt,8.85pt" strokeweight=".26mm">
            <v:stroke startarrow="block" endarrow="block" joinstyle="miter" endcap="square"/>
          </v:line>
        </w:pict>
      </w:r>
      <w:r>
        <w:pict>
          <v:line id="_x0000_s1031" style="position:absolute;z-index:251657728" from="405pt,116.85pt" to="405pt,134.85pt" strokeweight=".26mm">
            <v:stroke startarrow="block" endarrow="block" joinstyle="miter" endcap="square"/>
          </v:line>
        </w:pict>
      </w:r>
      <w:r>
        <w:pict>
          <v:line id="_x0000_s1032" style="position:absolute;z-index:251658752" from="450pt,62.85pt" to="459pt,62.85pt" strokeweight=".26mm">
            <v:stroke startarrow="block" endarrow="block" joinstyle="miter" endcap="squar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4pt;margin-top:-9.15pt;width:26.95pt;height:17.95pt;z-index:251659776;mso-wrap-distance-left:9.05pt;mso-wrap-distance-right:9.05pt" stroked="f">
            <v:fill opacity="0" color2="black"/>
            <v:textbox inset="0,0,0,0">
              <w:txbxContent>
                <w:p w:rsidR="00000000" w:rsidRDefault="00421224"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414pt;margin-top:116.85pt;width:26.95pt;height:17.95pt;z-index:251660800;mso-wrap-distance-left:9.05pt;mso-wrap-distance-right:9.05pt" stroked="f">
            <v:fill opacity="0" color2="black"/>
            <v:textbox inset="0,0,0,0">
              <w:txbxContent>
                <w:p w:rsidR="00000000" w:rsidRDefault="00421224"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51pt;margin-top:71.85pt;width:26.95pt;height:17.95pt;z-index:251661824;mso-wrap-distance-left:9.05pt;mso-wrap-distance-right:9.05pt" stroked="f">
            <v:fill opacity="0" color2="black"/>
            <v:textbox inset="0,0,0,0">
              <w:txbxContent>
                <w:p w:rsidR="00000000" w:rsidRDefault="00421224">
                  <w:r>
                    <w:rPr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459pt;margin-top:71.85pt;width:26.95pt;height:17.95pt;z-index:251662848;mso-wrap-distance-left:9.05pt;mso-wrap-distance-right:9.05pt" stroked="f">
            <v:fill opacity="0" color2="black"/>
            <v:textbox inset="0,0,0,0">
              <w:txbxContent>
                <w:p w:rsidR="00000000" w:rsidRDefault="00421224"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ambria Math" w:hAnsi="Cambria Math"/>
          <w:sz w:val="28"/>
          <w:szCs w:val="28"/>
        </w:rPr>
        <w:t>Р</w:t>
      </w:r>
      <w:r>
        <w:rPr>
          <w:rFonts w:ascii="Cambria Math" w:hAnsi="Cambria Math"/>
          <w:sz w:val="28"/>
          <w:szCs w:val="28"/>
        </w:rPr>
        <w:t xml:space="preserve">азмеры </w:t>
      </w:r>
      <w:r>
        <w:rPr>
          <w:rFonts w:ascii="Cambria Math" w:hAnsi="Cambria Math"/>
          <w:sz w:val="28"/>
          <w:szCs w:val="28"/>
        </w:rPr>
        <w:t xml:space="preserve">полей: слева 30 мм, справа 10 мм, 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сверху, снизу – 20 мм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Шрифт</w:t>
      </w:r>
      <w:r>
        <w:rPr>
          <w:rFonts w:ascii="Cambria Math" w:hAnsi="Cambria Math"/>
          <w:sz w:val="28"/>
          <w:szCs w:val="28"/>
          <w:lang w:val="en-US"/>
        </w:rPr>
        <w:t>: Times New Roman, Arial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14 </w:t>
      </w:r>
      <w:r>
        <w:rPr>
          <w:rFonts w:ascii="Cambria Math" w:hAnsi="Cambria Math"/>
          <w:sz w:val="28"/>
          <w:szCs w:val="28"/>
          <w:lang w:val="en-US"/>
        </w:rPr>
        <w:t>pt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Полуторный интервал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 ширине</w:t>
      </w:r>
    </w:p>
    <w:p w:rsidR="00000000" w:rsidRDefault="0042122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Абзацный отступ 1,25 см</w:t>
      </w:r>
    </w:p>
    <w:p w:rsidR="00000000" w:rsidRDefault="00421224">
      <w:pPr>
        <w:ind w:left="360"/>
        <w:rPr>
          <w:rFonts w:ascii="Cambria Math" w:hAnsi="Cambria Math"/>
          <w:sz w:val="28"/>
          <w:szCs w:val="28"/>
        </w:rPr>
      </w:pPr>
    </w:p>
    <w:p w:rsidR="00000000" w:rsidRDefault="00421224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</w:p>
    <w:p w:rsidR="00000000" w:rsidRDefault="00421224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</w:p>
    <w:p w:rsidR="00000000" w:rsidRDefault="00421224">
      <w:pPr>
        <w:jc w:val="both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sz w:val="28"/>
          <w:szCs w:val="28"/>
        </w:rPr>
        <w:t>Заголовки шрифт 16, жирный, по центру</w:t>
      </w:r>
    </w:p>
    <w:p w:rsidR="00000000" w:rsidRDefault="00421224">
      <w:pPr>
        <w:ind w:left="360"/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/>
          <w:sz w:val="32"/>
          <w:szCs w:val="32"/>
        </w:rPr>
        <w:t>Глава 1. Описание метода ЭПР</w:t>
      </w:r>
    </w:p>
    <w:p w:rsidR="00000000" w:rsidRDefault="00421224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После заголовка две пустые строчки, дал</w:t>
      </w:r>
      <w:r>
        <w:rPr>
          <w:rFonts w:ascii="Cambria Math" w:hAnsi="Cambria Math"/>
          <w:bCs/>
          <w:sz w:val="28"/>
          <w:szCs w:val="28"/>
        </w:rPr>
        <w:t>ее основной текст.</w:t>
      </w:r>
    </w:p>
    <w:p w:rsidR="00000000" w:rsidRDefault="00421224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Подписи к рисункам: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 рисунком 12 шрифт, по центру, одинарный интервал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 конце подписи точки не ставить.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</w:p>
    <w:p w:rsidR="00000000" w:rsidRDefault="00980ED6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noProof/>
          <w:sz w:val="28"/>
          <w:szCs w:val="28"/>
          <w:lang w:eastAsia="ru-RU" w:bidi="ar-SA"/>
        </w:rPr>
        <w:drawing>
          <wp:inline distT="0" distB="0" distL="0" distR="0">
            <wp:extent cx="1295400" cy="134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1224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</w:rPr>
        <w:t xml:space="preserve">Рис. 1. </w:t>
      </w:r>
      <w:r>
        <w:rPr>
          <w:rFonts w:ascii="Cambria Math" w:hAnsi="Cambria Math"/>
        </w:rPr>
        <w:t>Поверхность потенциальной энергии системы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Подписи к таблицам: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Сверху таблицы, 12 шрифт, по ширине, одинарный интерва</w:t>
      </w:r>
      <w:r>
        <w:rPr>
          <w:rFonts w:ascii="Cambria Math" w:hAnsi="Cambria Math"/>
          <w:sz w:val="28"/>
          <w:szCs w:val="28"/>
        </w:rPr>
        <w:t>л, в конце подписи точки не ставить</w:t>
      </w:r>
    </w:p>
    <w:p w:rsidR="00000000" w:rsidRDefault="00421224">
      <w:pPr>
        <w:jc w:val="both"/>
        <w:rPr>
          <w:rFonts w:ascii="Cambria Math" w:hAnsi="Cambria Math"/>
          <w:sz w:val="28"/>
          <w:szCs w:val="28"/>
        </w:rPr>
      </w:pPr>
    </w:p>
    <w:p w:rsidR="00000000" w:rsidRDefault="00421224">
      <w:pPr>
        <w:jc w:val="both"/>
      </w:pPr>
      <w:r>
        <w:rPr>
          <w:rFonts w:ascii="Cambria Math" w:hAnsi="Cambria Math"/>
          <w:b/>
          <w:sz w:val="28"/>
          <w:szCs w:val="28"/>
        </w:rPr>
        <w:t>Табл. 1.</w:t>
      </w:r>
      <w:r>
        <w:rPr>
          <w:rFonts w:ascii="Cambria Math" w:hAnsi="Cambria Math"/>
          <w:sz w:val="28"/>
          <w:szCs w:val="28"/>
        </w:rPr>
        <w:t xml:space="preserve"> Значения параметров тонкой структуры</w:t>
      </w:r>
    </w:p>
    <w:p w:rsidR="00000000" w:rsidRDefault="00421224">
      <w:pPr>
        <w:jc w:val="both"/>
        <w:rPr>
          <w:rFonts w:ascii="Cambria Math" w:hAnsi="Cambria Math"/>
        </w:rPr>
      </w:pPr>
      <w:r>
        <w:lastRenderedPageBreak/>
        <w:pict>
          <v:shape id="_x0000_s1026" type="#_x0000_t202" style="position:absolute;left:0;text-align:left;margin-left:0;margin-top:4.1pt;width:460.3pt;height:73pt;z-index:251652608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60"/>
                    <w:gridCol w:w="1977"/>
                    <w:gridCol w:w="2343"/>
                    <w:gridCol w:w="1612"/>
                    <w:gridCol w:w="1815"/>
                  </w:tblGrid>
                  <w:tr w:rsidR="00000000">
                    <w:trPr>
                      <w:trHeight w:val="680"/>
                    </w:trPr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>
                    <w:trPr>
                      <w:trHeight w:val="761"/>
                    </w:trPr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00000" w:rsidRDefault="00421224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42122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421224">
      <w:pPr>
        <w:ind w:left="360"/>
        <w:jc w:val="both"/>
        <w:rPr>
          <w:rFonts w:ascii="Cambria Math" w:hAnsi="Cambria Math"/>
          <w:sz w:val="28"/>
          <w:szCs w:val="28"/>
          <w:lang w:val="en-US"/>
        </w:rPr>
      </w:pPr>
    </w:p>
    <w:p w:rsidR="00000000" w:rsidRDefault="00421224">
      <w:pPr>
        <w:ind w:left="360"/>
        <w:jc w:val="both"/>
        <w:rPr>
          <w:rFonts w:ascii="Cambria Math" w:hAnsi="Cambria Math"/>
          <w:sz w:val="28"/>
          <w:szCs w:val="28"/>
          <w:lang w:val="en-US"/>
        </w:rPr>
      </w:pPr>
    </w:p>
    <w:p w:rsidR="00000000" w:rsidRDefault="00421224">
      <w:pPr>
        <w:ind w:left="36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Пояснения по оформлению: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В заголовках </w:t>
      </w:r>
      <w:r>
        <w:rPr>
          <w:rFonts w:ascii="Cambria Math" w:hAnsi="Cambria Math"/>
          <w:sz w:val="28"/>
          <w:szCs w:val="28"/>
          <w:shd w:val="clear" w:color="auto" w:fill="FF0000"/>
        </w:rPr>
        <w:t>НИКОГДА</w:t>
      </w:r>
      <w:r>
        <w:rPr>
          <w:rFonts w:ascii="Cambria Math" w:hAnsi="Cambria Math"/>
          <w:sz w:val="28"/>
          <w:szCs w:val="28"/>
        </w:rPr>
        <w:t xml:space="preserve"> не ставят точки.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Каждая глава, оглавление, литература, заключение начинаются с новой страницы.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Заголовки без переносов.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Рас</w:t>
      </w:r>
      <w:r>
        <w:rPr>
          <w:rFonts w:ascii="Cambria Math" w:hAnsi="Cambria Math"/>
          <w:sz w:val="28"/>
          <w:szCs w:val="28"/>
        </w:rPr>
        <w:t>стояние от заголовка до текста - 2 строчки.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Слова, обозначающие сокращения единиц измерения пишутся БЕЗ ТОЧКИ (л, кг и т.п.).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Сокращения: - оставляется одна буква – год – г.</w:t>
      </w:r>
    </w:p>
    <w:p w:rsidR="00000000" w:rsidRDefault="00421224">
      <w:pPr>
        <w:ind w:left="2124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>
        <w:rPr>
          <w:rFonts w:ascii="Cambria Math" w:hAnsi="Cambria Math"/>
          <w:sz w:val="28"/>
          <w:szCs w:val="28"/>
        </w:rPr>
        <w:t>- оставляется часть слова – советский – сов.</w:t>
      </w:r>
    </w:p>
    <w:p w:rsidR="00000000" w:rsidRDefault="00421224">
      <w:pPr>
        <w:ind w:left="2124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>
        <w:rPr>
          <w:rFonts w:ascii="Cambria Math" w:hAnsi="Cambria Math"/>
          <w:sz w:val="28"/>
          <w:szCs w:val="28"/>
        </w:rPr>
        <w:t>- пропускается несколько букв в</w:t>
      </w:r>
      <w:r>
        <w:rPr>
          <w:rFonts w:ascii="Cambria Math" w:hAnsi="Cambria Math"/>
          <w:sz w:val="28"/>
          <w:szCs w:val="28"/>
        </w:rPr>
        <w:t xml:space="preserve"> середине слова – </w:t>
      </w:r>
    </w:p>
    <w:p w:rsidR="00000000" w:rsidRDefault="00421224">
      <w:pPr>
        <w:ind w:left="2124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</w:t>
      </w:r>
      <w:r>
        <w:rPr>
          <w:rFonts w:ascii="Cambria Math" w:hAnsi="Cambria Math"/>
          <w:sz w:val="28"/>
          <w:szCs w:val="28"/>
        </w:rPr>
        <w:t>университет – ун-т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Общепринятые сокращения: в. (век), вв. (века), г. (год), гг. (года).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Ссылки в тексте на номер рисунка, таблицы, страницы, главы: рис.3, табл.4, с.34, гл.2.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Знак сноски ставится перед знаком препинания, исключения </w:t>
      </w:r>
      <w:r>
        <w:rPr>
          <w:rFonts w:ascii="Cambria Math" w:hAnsi="Cambria Math"/>
          <w:sz w:val="28"/>
          <w:szCs w:val="28"/>
        </w:rPr>
        <w:t>– вопросительный и восклицательный знаки и многоточия.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Формулы: большие формулы с новой строки, нумерация формул идет сквозная и зависит от номера главы, в которой ее употребляют. Нумеруются только важные формулы,  на которые имеются ссылки в последующем т</w:t>
      </w:r>
      <w:r>
        <w:rPr>
          <w:rFonts w:ascii="Cambria Math" w:hAnsi="Cambria Math"/>
          <w:sz w:val="28"/>
          <w:szCs w:val="28"/>
        </w:rPr>
        <w:t>ексте. Пример: (1.1) помещается справа от формулы.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Иллюстрации: нумерация идет сквозная, без привязки к главам. Тоже самое относиться к схемам, диаграммам, графикам.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Нумерация страниц сверху в центре.</w:t>
      </w:r>
    </w:p>
    <w:p w:rsidR="00000000" w:rsidRDefault="00421224">
      <w:pPr>
        <w:numPr>
          <w:ilvl w:val="0"/>
          <w:numId w:val="2"/>
        </w:num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Оформление литературы:</w:t>
      </w:r>
    </w:p>
    <w:p w:rsidR="00000000" w:rsidRDefault="00421224">
      <w:pPr>
        <w:ind w:left="708"/>
        <w:rPr>
          <w:rFonts w:ascii="Cambria Math" w:hAnsi="Cambria Math"/>
          <w:i/>
          <w:i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Книги:</w:t>
      </w:r>
    </w:p>
    <w:p w:rsidR="00000000" w:rsidRDefault="00421224">
      <w:pPr>
        <w:ind w:left="708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i/>
          <w:iCs/>
          <w:sz w:val="28"/>
          <w:szCs w:val="28"/>
        </w:rPr>
        <w:t>- один автор</w:t>
      </w:r>
    </w:p>
    <w:p w:rsidR="00000000" w:rsidRDefault="00421224">
      <w:pPr>
        <w:ind w:left="708"/>
        <w:rPr>
          <w:rFonts w:ascii="Cambria Math" w:hAnsi="Cambria Math"/>
          <w:i/>
          <w:iCs/>
          <w:color w:val="000000"/>
          <w:spacing w:val="-4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Дегтяр, Б.С.</w:t>
      </w:r>
      <w:r>
        <w:rPr>
          <w:rFonts w:ascii="Cambria Math" w:hAnsi="Cambria Math"/>
          <w:color w:val="000000"/>
          <w:sz w:val="28"/>
          <w:szCs w:val="28"/>
        </w:rPr>
        <w:t xml:space="preserve"> Антистрессовая  аптека  /Б.С.Дегтяр.- М.: Терраспорт, </w:t>
      </w:r>
      <w:r>
        <w:rPr>
          <w:rFonts w:ascii="Cambria Math" w:hAnsi="Cambria Math"/>
          <w:color w:val="000000"/>
          <w:spacing w:val="-4"/>
          <w:sz w:val="28"/>
          <w:szCs w:val="28"/>
        </w:rPr>
        <w:t>2000.- 126 с.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1"/>
          <w:sz w:val="28"/>
          <w:szCs w:val="28"/>
        </w:rPr>
      </w:pPr>
      <w:r>
        <w:rPr>
          <w:rFonts w:ascii="Cambria Math" w:hAnsi="Cambria Math"/>
          <w:i/>
          <w:iCs/>
          <w:color w:val="000000"/>
          <w:spacing w:val="-4"/>
          <w:sz w:val="28"/>
          <w:szCs w:val="28"/>
        </w:rPr>
        <w:t>- два - три автора:</w:t>
      </w:r>
    </w:p>
    <w:p w:rsidR="00000000" w:rsidRDefault="00421224">
      <w:pPr>
        <w:ind w:left="708"/>
        <w:rPr>
          <w:rFonts w:ascii="Cambria Math" w:hAnsi="Cambria Math"/>
          <w:i/>
          <w:iCs/>
          <w:color w:val="000000"/>
          <w:spacing w:val="-1"/>
          <w:sz w:val="28"/>
          <w:szCs w:val="28"/>
        </w:rPr>
      </w:pPr>
      <w:r>
        <w:rPr>
          <w:rFonts w:ascii="Cambria Math" w:hAnsi="Cambria Math"/>
          <w:color w:val="000000"/>
          <w:spacing w:val="-1"/>
          <w:sz w:val="28"/>
          <w:szCs w:val="28"/>
        </w:rPr>
        <w:t>Коровина, Н.А.   Холепатия у детей и подростков   /Н.А.Коровина, И.Н.Захарова,  М.С.Хинтинская.-  М.: Медпрактика, 2000.- 59 с.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1"/>
          <w:sz w:val="28"/>
          <w:szCs w:val="28"/>
        </w:rPr>
      </w:pPr>
      <w:r>
        <w:rPr>
          <w:rFonts w:ascii="Cambria Math" w:hAnsi="Cambria Math"/>
          <w:i/>
          <w:iCs/>
          <w:color w:val="000000"/>
          <w:spacing w:val="-1"/>
          <w:sz w:val="28"/>
          <w:szCs w:val="28"/>
        </w:rPr>
        <w:t>- четыре и более:</w:t>
      </w:r>
      <w:r>
        <w:rPr>
          <w:rFonts w:ascii="Cambria Math" w:hAnsi="Cambria Math"/>
          <w:i/>
          <w:iCs/>
          <w:color w:val="000000"/>
          <w:spacing w:val="-1"/>
          <w:sz w:val="25"/>
          <w:szCs w:val="25"/>
        </w:rPr>
        <w:t xml:space="preserve">  </w:t>
      </w:r>
    </w:p>
    <w:p w:rsidR="00000000" w:rsidRDefault="00421224">
      <w:pPr>
        <w:ind w:left="708"/>
        <w:rPr>
          <w:rFonts w:ascii="Cambria Math" w:hAnsi="Cambria Math"/>
          <w:b/>
          <w:bCs/>
          <w:color w:val="000000"/>
          <w:spacing w:val="-1"/>
          <w:sz w:val="28"/>
          <w:szCs w:val="28"/>
        </w:rPr>
      </w:pPr>
      <w:r>
        <w:rPr>
          <w:rFonts w:ascii="Cambria Math" w:hAnsi="Cambria Math"/>
          <w:color w:val="000000"/>
          <w:spacing w:val="-1"/>
          <w:sz w:val="28"/>
          <w:szCs w:val="28"/>
        </w:rPr>
        <w:t>Травматология  и ор</w:t>
      </w:r>
      <w:r>
        <w:rPr>
          <w:rFonts w:ascii="Cambria Math" w:hAnsi="Cambria Math"/>
          <w:color w:val="000000"/>
          <w:spacing w:val="-1"/>
          <w:sz w:val="28"/>
          <w:szCs w:val="28"/>
        </w:rPr>
        <w:t xml:space="preserve">топедия  /Х.А.Мусалатов,   Г.С.Юмашев, Л.Л. </w:t>
      </w:r>
      <w:r>
        <w:rPr>
          <w:rFonts w:ascii="Cambria Math" w:hAnsi="Cambria Math"/>
          <w:color w:val="000000"/>
          <w:spacing w:val="-4"/>
          <w:sz w:val="28"/>
          <w:szCs w:val="28"/>
        </w:rPr>
        <w:t>Силин и др.- М.: Медицина, 1995.- 559 с.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1"/>
          <w:sz w:val="28"/>
          <w:szCs w:val="28"/>
        </w:rPr>
      </w:pPr>
      <w:r>
        <w:rPr>
          <w:rFonts w:ascii="Cambria Math" w:hAnsi="Cambria Math"/>
          <w:b/>
          <w:bCs/>
          <w:color w:val="000000"/>
          <w:spacing w:val="-1"/>
          <w:sz w:val="28"/>
          <w:szCs w:val="28"/>
        </w:rPr>
        <w:lastRenderedPageBreak/>
        <w:t xml:space="preserve">Многотомное издание: </w:t>
      </w:r>
    </w:p>
    <w:p w:rsidR="00000000" w:rsidRDefault="00421224">
      <w:pPr>
        <w:ind w:left="708"/>
        <w:rPr>
          <w:rFonts w:ascii="Cambria Math" w:hAnsi="Cambria Math"/>
          <w:b/>
          <w:bCs/>
          <w:color w:val="000000"/>
          <w:spacing w:val="1"/>
          <w:sz w:val="28"/>
          <w:szCs w:val="28"/>
        </w:rPr>
      </w:pPr>
      <w:r>
        <w:rPr>
          <w:rFonts w:ascii="Cambria Math" w:hAnsi="Cambria Math"/>
          <w:color w:val="000000"/>
          <w:spacing w:val="-1"/>
          <w:sz w:val="28"/>
          <w:szCs w:val="28"/>
        </w:rPr>
        <w:t>Доказательная медицина: Ежегод. Справ.: Пер. с англ.- М.: Медиа-</w:t>
      </w:r>
      <w:r>
        <w:rPr>
          <w:rFonts w:ascii="Cambria Math" w:hAnsi="Cambria Math"/>
          <w:color w:val="000000"/>
          <w:spacing w:val="-4"/>
          <w:sz w:val="28"/>
          <w:szCs w:val="28"/>
        </w:rPr>
        <w:t>сфера, 2002.- Вып.1.- 1399 с.</w:t>
      </w:r>
    </w:p>
    <w:p w:rsidR="00000000" w:rsidRDefault="00421224">
      <w:pPr>
        <w:ind w:left="708"/>
        <w:rPr>
          <w:rFonts w:ascii="Cambria Math" w:hAnsi="Cambria Math"/>
          <w:i/>
          <w:iCs/>
          <w:color w:val="000000"/>
          <w:spacing w:val="1"/>
          <w:sz w:val="28"/>
          <w:szCs w:val="28"/>
        </w:rPr>
      </w:pPr>
      <w:r>
        <w:rPr>
          <w:rFonts w:ascii="Cambria Math" w:hAnsi="Cambria Math"/>
          <w:b/>
          <w:bCs/>
          <w:color w:val="000000"/>
          <w:spacing w:val="1"/>
          <w:sz w:val="28"/>
          <w:szCs w:val="28"/>
        </w:rPr>
        <w:t>Статьи из книг, журналов, сборников статей:</w:t>
      </w:r>
    </w:p>
    <w:p w:rsidR="00000000" w:rsidRDefault="00421224">
      <w:pPr>
        <w:ind w:left="708"/>
        <w:rPr>
          <w:rFonts w:ascii="Cambria Math" w:hAnsi="Cambria Math"/>
          <w:color w:val="000000"/>
          <w:spacing w:val="-3"/>
          <w:sz w:val="28"/>
          <w:szCs w:val="28"/>
        </w:rPr>
      </w:pPr>
      <w:r>
        <w:rPr>
          <w:rFonts w:ascii="Cambria Math" w:hAnsi="Cambria Math"/>
          <w:i/>
          <w:iCs/>
          <w:color w:val="000000"/>
          <w:spacing w:val="1"/>
          <w:sz w:val="28"/>
          <w:szCs w:val="28"/>
        </w:rPr>
        <w:t>- один авто</w:t>
      </w:r>
      <w:r>
        <w:rPr>
          <w:rFonts w:ascii="Cambria Math" w:hAnsi="Cambria Math"/>
          <w:i/>
          <w:iCs/>
          <w:color w:val="000000"/>
          <w:spacing w:val="1"/>
          <w:sz w:val="28"/>
          <w:szCs w:val="28"/>
        </w:rPr>
        <w:t xml:space="preserve">р: </w:t>
      </w:r>
    </w:p>
    <w:p w:rsidR="00000000" w:rsidRDefault="00421224">
      <w:pPr>
        <w:ind w:left="708"/>
        <w:rPr>
          <w:rFonts w:ascii="Cambria Math" w:hAnsi="Cambria Math"/>
          <w:i/>
          <w:iCs/>
          <w:sz w:val="28"/>
          <w:szCs w:val="28"/>
        </w:rPr>
      </w:pPr>
      <w:r>
        <w:rPr>
          <w:rFonts w:ascii="Cambria Math" w:hAnsi="Cambria Math"/>
          <w:color w:val="000000"/>
          <w:spacing w:val="-3"/>
          <w:sz w:val="28"/>
          <w:szCs w:val="28"/>
        </w:rPr>
        <w:t xml:space="preserve">Измеров, Н.Ф.   Прошлое,   настоящее и   будущее   профпатологии </w:t>
      </w:r>
      <w:r>
        <w:rPr>
          <w:rFonts w:ascii="Cambria Math" w:hAnsi="Cambria Math"/>
          <w:color w:val="000000"/>
          <w:spacing w:val="-2"/>
          <w:sz w:val="28"/>
          <w:szCs w:val="28"/>
        </w:rPr>
        <w:t>/Н.Ф.Измеров   //Медицина  труда   и промышленная    экология.-</w:t>
      </w:r>
      <w:r>
        <w:rPr>
          <w:rFonts w:ascii="Cambria Math" w:hAnsi="Cambria Math"/>
          <w:color w:val="000000"/>
          <w:spacing w:val="5"/>
          <w:sz w:val="28"/>
          <w:szCs w:val="28"/>
        </w:rPr>
        <w:t>2001.-№1.-С.1-9.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2"/>
          <w:sz w:val="28"/>
          <w:szCs w:val="28"/>
        </w:rPr>
      </w:pPr>
      <w:r>
        <w:rPr>
          <w:rFonts w:ascii="Cambria Math" w:hAnsi="Cambria Math"/>
          <w:i/>
          <w:iCs/>
          <w:sz w:val="28"/>
          <w:szCs w:val="28"/>
        </w:rPr>
        <w:t xml:space="preserve">- два-три автора: </w:t>
      </w:r>
    </w:p>
    <w:p w:rsidR="00000000" w:rsidRDefault="00421224">
      <w:pPr>
        <w:ind w:left="708"/>
        <w:rPr>
          <w:rFonts w:ascii="Cambria Math" w:hAnsi="Cambria Math"/>
          <w:i/>
          <w:iCs/>
          <w:color w:val="000000"/>
          <w:spacing w:val="-4"/>
          <w:sz w:val="28"/>
          <w:szCs w:val="28"/>
        </w:rPr>
      </w:pPr>
      <w:r>
        <w:rPr>
          <w:rFonts w:ascii="Cambria Math" w:hAnsi="Cambria Math"/>
          <w:color w:val="000000"/>
          <w:spacing w:val="-2"/>
          <w:sz w:val="28"/>
          <w:szCs w:val="28"/>
        </w:rPr>
        <w:t>Булатов, В.Л.   Взаимосвязь   между состоянием органов гастродуо</w:t>
      </w:r>
      <w:r>
        <w:rPr>
          <w:rFonts w:ascii="Cambria Math" w:hAnsi="Cambria Math"/>
          <w:color w:val="000000"/>
          <w:spacing w:val="-4"/>
          <w:sz w:val="28"/>
          <w:szCs w:val="28"/>
        </w:rPr>
        <w:t>денальной зоны у детей и</w:t>
      </w:r>
      <w:r>
        <w:rPr>
          <w:rFonts w:ascii="Cambria Math" w:hAnsi="Cambria Math"/>
          <w:color w:val="000000"/>
          <w:spacing w:val="-4"/>
          <w:sz w:val="28"/>
          <w:szCs w:val="28"/>
        </w:rPr>
        <w:t xml:space="preserve"> качественным составом питьевой воды /В.Л.Булатов, А.В.Иванов, Н.В.Рылова //Казанский медицинский журнал.- 2001.- Т.82, № 6.- С.464-465.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4"/>
          <w:sz w:val="28"/>
          <w:szCs w:val="28"/>
        </w:rPr>
      </w:pPr>
      <w:r>
        <w:rPr>
          <w:rFonts w:ascii="Cambria Math" w:hAnsi="Cambria Math"/>
          <w:i/>
          <w:iCs/>
          <w:color w:val="000000"/>
          <w:spacing w:val="-4"/>
          <w:sz w:val="28"/>
          <w:szCs w:val="28"/>
        </w:rPr>
        <w:t xml:space="preserve">- четыре и более: </w:t>
      </w:r>
    </w:p>
    <w:p w:rsidR="00000000" w:rsidRDefault="00421224">
      <w:pPr>
        <w:ind w:left="708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color w:val="000000"/>
          <w:spacing w:val="-4"/>
          <w:sz w:val="28"/>
          <w:szCs w:val="28"/>
        </w:rPr>
        <w:t>Перспективы использования клеевых субстанций в лапароскопичес</w:t>
      </w:r>
      <w:r>
        <w:rPr>
          <w:rFonts w:ascii="Cambria Math" w:hAnsi="Cambria Math"/>
          <w:color w:val="000000"/>
          <w:spacing w:val="-4"/>
          <w:sz w:val="28"/>
          <w:szCs w:val="28"/>
        </w:rPr>
        <w:softHyphen/>
        <w:t>кой хирургии /Б.К.Шуркалин, В.П.Горски</w:t>
      </w:r>
      <w:r>
        <w:rPr>
          <w:rFonts w:ascii="Cambria Math" w:hAnsi="Cambria Math"/>
          <w:color w:val="000000"/>
          <w:spacing w:val="-4"/>
          <w:sz w:val="28"/>
          <w:szCs w:val="28"/>
        </w:rPr>
        <w:t>й, А.Г.Кригер и др. //Эн</w:t>
      </w:r>
      <w:r>
        <w:rPr>
          <w:rFonts w:ascii="Cambria Math" w:hAnsi="Cambria Math"/>
          <w:color w:val="000000"/>
          <w:spacing w:val="-4"/>
          <w:sz w:val="28"/>
          <w:szCs w:val="28"/>
        </w:rPr>
        <w:softHyphen/>
        <w:t>доскопическая хирургия.- 2000.- Т.6, № 6.- С.4-8.</w:t>
      </w:r>
    </w:p>
    <w:p w:rsidR="00000000" w:rsidRDefault="00421224">
      <w:pPr>
        <w:ind w:left="708"/>
        <w:rPr>
          <w:rFonts w:ascii="Cambria Math" w:hAnsi="Cambria Math"/>
          <w:color w:val="000000"/>
          <w:spacing w:val="-2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Глава из книги: </w:t>
      </w:r>
    </w:p>
    <w:p w:rsidR="00000000" w:rsidRDefault="00421224">
      <w:pPr>
        <w:ind w:left="708"/>
        <w:rPr>
          <w:sz w:val="28"/>
          <w:szCs w:val="28"/>
        </w:rPr>
      </w:pPr>
      <w:r>
        <w:rPr>
          <w:rFonts w:ascii="Cambria Math" w:hAnsi="Cambria Math"/>
          <w:color w:val="000000"/>
          <w:spacing w:val="-2"/>
          <w:sz w:val="28"/>
          <w:szCs w:val="28"/>
        </w:rPr>
        <w:t>Столяров, Ю.Н. Онтологическая сущность информации /Ю.Н.Столя</w:t>
      </w:r>
      <w:r>
        <w:rPr>
          <w:rFonts w:ascii="Cambria Math" w:hAnsi="Cambria Math"/>
          <w:color w:val="000000"/>
          <w:spacing w:val="-2"/>
          <w:sz w:val="28"/>
          <w:szCs w:val="28"/>
        </w:rPr>
        <w:softHyphen/>
      </w:r>
      <w:r>
        <w:rPr>
          <w:rFonts w:ascii="Cambria Math" w:hAnsi="Cambria Math"/>
          <w:color w:val="000000"/>
          <w:spacing w:val="-4"/>
          <w:sz w:val="28"/>
          <w:szCs w:val="28"/>
        </w:rPr>
        <w:t>ров.- М., 2000.- Гл. 2, § 1.- С.43-57.</w:t>
      </w:r>
    </w:p>
    <w:p w:rsidR="00000000" w:rsidRDefault="00421224">
      <w:pPr>
        <w:ind w:left="708"/>
        <w:rPr>
          <w:sz w:val="28"/>
          <w:szCs w:val="28"/>
        </w:rPr>
      </w:pPr>
    </w:p>
    <w:p w:rsidR="00421224" w:rsidRDefault="00421224">
      <w:pPr>
        <w:ind w:left="360"/>
        <w:jc w:val="both"/>
      </w:pPr>
    </w:p>
    <w:sectPr w:rsidR="004212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0ED6"/>
    <w:rsid w:val="00421224"/>
    <w:rsid w:val="009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1601-01-01T00:00:00Z</cp:lastPrinted>
  <dcterms:created xsi:type="dcterms:W3CDTF">2016-03-01T07:41:00Z</dcterms:created>
  <dcterms:modified xsi:type="dcterms:W3CDTF">2016-03-01T07:41:00Z</dcterms:modified>
</cp:coreProperties>
</file>